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обсуждений инициатив граждан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итогам общественных обсуждений проекта государственной  программы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 xml:space="preserve">Югры  «</w:t>
      </w:r>
      <w:r>
        <w:rPr>
          <w:rFonts w:ascii="Times New Roman" w:hAnsi="Times New Roman" w:cs="Times New Roman"/>
          <w:sz w:val="28"/>
          <w:szCs w:val="28"/>
        </w:rPr>
        <w:t xml:space="preserve">Поддержка занятости населения» (01.11.2023 года в режиме ВКС)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16"/>
        <w:tblW w:w="14882" w:type="dxa"/>
        <w:tblLayout w:type="fixed"/>
        <w:tblLook w:val="04A0" w:firstRow="1" w:lastRow="0" w:firstColumn="1" w:lastColumn="0" w:noHBand="0" w:noVBand="1"/>
      </w:tblPr>
      <w:tblGrid>
        <w:gridCol w:w="605"/>
        <w:gridCol w:w="2431"/>
        <w:gridCol w:w="2350"/>
        <w:gridCol w:w="5244"/>
      </w:tblGrid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п/п</w:t>
            </w:r>
            <w:r>
              <w:rPr>
                <w:sz w:val="22"/>
                <w:szCs w:val="22"/>
              </w:rPr>
            </w:r>
          </w:p>
        </w:tc>
        <w:tc>
          <w:tcPr>
            <w:tcW w:w="24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Содержание предложения</w:t>
            </w:r>
            <w:r>
              <w:rPr>
                <w:sz w:val="22"/>
                <w:szCs w:val="22"/>
              </w:rPr>
            </w:r>
          </w:p>
        </w:tc>
        <w:tc>
          <w:tcPr>
            <w:tcW w:w="2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</w:t>
            </w:r>
            <w:r>
              <w:rPr>
                <w:sz w:val="22"/>
                <w:szCs w:val="22"/>
              </w:rPr>
            </w:r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Предусмотрено в государственной программе/ либо отклонено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tcW w:w="24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tcW w:w="2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</w:r>
          </w:p>
        </w:tc>
        <w:tc>
          <w:tcPr>
            <w:tcW w:w="243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Дептруда и занятости Югры запросить 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Управлении 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Федеральной службы государственной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статистики по Тюменской области,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Ханты-Мансийскому автономному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округу – Югре и Ямало-Ненецкому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автономному округу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сведения о количестве уволенных и трудоустроенных за 2022 год с целью анализа потребности в кадрах работодателей автономного округа и использования в дальнейшей работе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</w:p>
        </w:tc>
        <w:tc>
          <w:tcPr>
            <w:tcW w:w="2350" w:type="dxa"/>
            <w:textDirection w:val="lrTb"/>
            <w:noWrap w:val="false"/>
          </w:tcPr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Сиваш Фёдор Григорьевич,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председатель союза «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Объединение организаций профсоюзов Ханты-Манс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ийского автономного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 xml:space="preserve">Югры»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244" w:type="dxa"/>
            <w:textDirection w:val="lrTb"/>
            <w:noWrap w:val="false"/>
          </w:tcPr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 не требует включения в государственную программу.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 настоящее время данные имеются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федеральной государственной информационной системе «Единая цифровая платформа в сфере занятости и трудо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вых отношений «Работа в России» (далее – ЕЦП)</w:t>
            </w:r>
            <w:r/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Одним из размещенных показателей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дашборде</w:t>
            </w:r>
            <w:r>
              <w:rPr>
                <w:rStyle w:val="797"/>
                <w:rFonts w:ascii="Times New Roman" w:hAnsi="Times New Roman" w:cs="Times New Roman"/>
                <w:sz w:val="22"/>
                <w:szCs w:val="22"/>
                <w:lang w:eastAsia="ru-RU"/>
              </w:rPr>
              <w:footnoteReference w:id="2"/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подсистем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«Анализ трудоустройства граждан» ЕЦП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является «Сальдо»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принято минус уволено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который формируется  по данным Пенсионного фонда Российской Федерации.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 Ханты-Мансийскому автономному округу – Югре данный показатель имеет отрицательное значение за период с 1 января 2022  года по 31 декабря 2022 года и составляет -6 347 человек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tbl>
            <w:tblPr>
              <w:tblStyle w:val="81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1559"/>
              <w:gridCol w:w="1559"/>
              <w:gridCol w:w="1417"/>
            </w:tblGrid>
            <w:tr>
              <w:trPr/>
              <w:tc>
                <w:tcPr>
                  <w:tcW w:w="241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Показатель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2020 год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2021 год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2022 год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41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Численность принятых работников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147 389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245 485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extDirection w:val="lrTb"/>
                  <w:noWrap w:val="false"/>
                </w:tcPr>
                <w:p>
                  <w:pPr>
                    <w:pStyle w:val="1_885"/>
                    <w:jc w:val="center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highlight w:val="none"/>
                      <w:lang w:eastAsia="ru-RU"/>
                    </w:rPr>
                    <w:t xml:space="preserve">220 473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highlight w:val="none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1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Численность уволенных работников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165 598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244 374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extDirection w:val="lrTb"/>
                  <w:noWrap w:val="false"/>
                </w:tcPr>
                <w:p>
                  <w:pPr>
                    <w:pStyle w:val="1_885"/>
                    <w:jc w:val="center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highlight w:val="none"/>
                      <w:lang w:eastAsia="ru-RU"/>
                    </w:rPr>
                    <w:t xml:space="preserve">226 820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highlight w:val="none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14" w:type="dxa"/>
                  <w:textDirection w:val="lrTb"/>
                  <w:noWrap w:val="false"/>
                </w:tcPr>
                <w:p>
                  <w:pPr>
                    <w:jc w:val="both"/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Сальдо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-18 209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1 111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extDirection w:val="lrTb"/>
                  <w:noWrap w:val="false"/>
                </w:tcPr>
                <w:p>
                  <w:pPr>
                    <w:pStyle w:val="1_885"/>
                    <w:jc w:val="center"/>
                    <w:widowControl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highlight w:val="none"/>
                      <w:lang w:eastAsia="ru-RU"/>
                    </w:rPr>
                    <w:t xml:space="preserve">-6 347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highlight w:val="none"/>
                      <w:lang w:eastAsia="ru-RU"/>
                    </w:rPr>
                  </w:r>
                </w:p>
              </w:tc>
            </w:tr>
          </w:tbl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bCs/>
                <w:i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*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ри рассмотрении данного показателя следует принимать во внимание, что Пенсионным фондом России используется понятие «кадровое мероприятие». Так, кадровое мероприятие «увольнение» включает в себя не только увольнение работников за пределы организации, 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о и перемещение работников внутри организации (увольнение с одной должности с одновременным принятием на другую должность), а также прекращение работником исполнения обязанностей по совместительству. Аналогичная ситуация с кадровым мероприятием «принятие».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bookmarkStart w:id="0" w:name="undefined"/>
            <w:r>
              <w:rPr>
                <w:rFonts w:ascii="Times New Roman" w:hAnsi="Times New Roman" w:cs="Times New Roman"/>
                <w:sz w:val="22"/>
                <w:szCs w:val="22"/>
              </w:rPr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_885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</w:r>
          </w:p>
        </w:tc>
        <w:tc>
          <w:tcPr>
            <w:tcW w:w="2431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Дептруда и занятости Югры сделать запрос в Отделение Фонда пенсионного и социального страхования Российской Федерации по ХМАО – Югре по уточнению периодов трудовой деятельности, которые включаются 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стаж работы в районах Крайнего Севера и районах, приравненных к ним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 случае подтверждения факта невключения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 стаж работы в районах Крайнего Севера и районах, приравненных к ним, периодов участия во временных и общественных работах по направлению службы занятости населения,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 подготовить предложения в Минтруд России о необходимости выхода с законодательной инициативой  по урегулированию рассматриваемого вопроса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23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Камышева Екатерина Сергеевна,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редседатель НП «Союз предпринимателей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Кондинского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района»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 не требует включения в государственную программу.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реализации права на досрочное пенсионное обеспечение за работу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Крайнем Севере и в местности, приравненной к районам Крайнего Севера,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предусмотренное п. 6 ч. 1 ст. 32 Федерального закона от 28.12.2013 № 400-ФЗ «О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пенсиях» (далее – Закон №400-ФЗ), требуется наличие не менее 15 календарных лет работы в районах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Крайнего Севера или не менее 20 календарных лет в приравненных к ним местностях.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положениями ст. 11 Закона № 400-ФЗ в страховой стаж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включаются периоды работы и (или) иной деятельности при условии, что за эти периоды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начислялись и уплачивались страховые взносы в Социальный фонд Российской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Наравне с периодами работы и (или) иной деятельности, которые предусмотрены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ст. 11 Закона № 400-ФЗ, в страховой стаж засчитываются иные периоды, исчерпывающий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которых определен ст. 12 Закона № 400-ФЗ. В частности, согласно п. 4 ч. 1 ст. 12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Закона № 400-ФЗ, к ним относятся периоды участия в оплачиваемых общественных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ст. 12 Закона № 400-ФЗ периоды участия в оплачиваемых общественных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работах отнесены к иным периодам, которые в соответствии с указанной статьей,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учитываются в страховой стаж только в том случае, если им предшествовали и (или)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ними следовали периоды работы и (или) иной деятельности (независимо от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продолжительности), указанные в статье 11 Закона № 400-ФЗ.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п. 4, 5 Правил № 516, в стаж работы, дающей право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досрочное назначение страховой пенсии по старости, засчитываются периоды работы,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выполняемой постоянно в течение полного рабочего дня, если иное не предусмотрено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настоящими Правилами или иными нормативными правовыми актами, при условии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уплаты за эти периоды страховых взносов в Социальный фонд Российской Федерации.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Периоды работы, дающей право на досрочное назначение страховой пенсии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старости, которая выполнялась постоянно в течение полного рабочего дня, засчитываются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стаж в календарном порядке, если иное не предусмотрено настоящими Правилами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иными нормативными правовыми актами.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этом в стаж включаются периоды получения пособия по государственному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социальному страхованию в период временной нетрудоспособности, а также периоды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ежегодных основного и дополнительных оплачиваемых отпусков.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Следует отметить, что указанный перечень периодов, дающих право на досрочное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страховой пенсии по старости, является исчерпывающим. Периоды участия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оплачиваемых общественных работах, не отнесены к периодам, дающим право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досрочное назначение страховой пенсии по старости.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 в соответствии со ст. 11 Федерального закона от 01.04.1996 № 27-ФЗ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«Об индивидуальном (персонифицированном) учете в системах обязательного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пенсионного страхования и обязательного социального страхования» страхователь,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представляет о каждом работающем у него застрахованном лице сведения о периодах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деятельности, включаемых в страховой стаж и в стаж на соответствующих видах работ,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определяемый особыми условиями труда, работой в районах Крайнего Севера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приравненных к ним местностях.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сведения предоставляются страхователем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Порядком заполнения формы «Сведения о страховом стаже застрахованных лиц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(СЗВ-СТАЖ)», период получения пособия по безработице, период участия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оплачиваемых общественных работах и период переезда или переселения по направлению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службы занятости в другую местность для трудоустройства указывается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значением «БЕЗРАБОТНЫЙ». В соответствии с п. 30 Правил подсчета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подтверждения страхового стажа для установления страховых пенсий, утвержденных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Правительства Российской Федерации от 02.10.2014 № 1015,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пособия по безработице, период участия в оплачиваемых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работах и период переезда или переселения по направлению государственной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занятости в другую местность для трудоустройства, подтверждается справкой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учреждения службы занятости населения по форме согласно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приложению № 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приведенных норм законодательства, периоды участия гражданина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оплачиваемых общественных работах относятся к иным периодам, засчитываемым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страховой стаж. Исчисление иных периодов в стаж, дающий право на досрочное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пенсионное обеспечение, не предусмотрено законодательством Российской Федерации.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95"/>
      </w:pPr>
      <w:r>
        <w:rPr>
          <w:rStyle w:val="797"/>
        </w:rPr>
        <w:footnoteRef/>
      </w:r>
      <w:r>
        <w:t xml:space="preserve"> </w:t>
      </w:r>
      <w:r/>
      <w:r>
        <w:t xml:space="preserve"> </w:t>
      </w:r>
      <w:r>
        <w:rPr>
          <w:rFonts w:ascii="Times New Roman" w:hAnsi="Times New Roman"/>
        </w:rPr>
        <w:t xml:space="preserve">Сервис, предназначенный для сбора и визуализации информации.</w:t>
      </w:r>
      <w:r>
        <w:t xml:space="preserve"> </w:t>
      </w:r>
      <w:r>
        <w:rPr>
          <w:rFonts w:ascii="Times New Roman" w:hAnsi="Times New Roman"/>
        </w:rPr>
        <w:t xml:space="preserve">Данные  формируется по сведениям  Пенсионного фонда России нарастающим итогом с 01.02.2020г.</w:t>
      </w:r>
      <w:r/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2"/>
    <w:next w:val="812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3"/>
    <w:link w:val="664"/>
    <w:uiPriority w:val="99"/>
  </w:style>
  <w:style w:type="paragraph" w:styleId="666">
    <w:name w:val="Footer"/>
    <w:basedOn w:val="81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3"/>
    <w:link w:val="666"/>
    <w:uiPriority w:val="99"/>
  </w:style>
  <w:style w:type="paragraph" w:styleId="668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7" w:customStyle="1">
    <w:name w:val="Heading"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character" w:styleId="818">
    <w:name w:val="Hyperlink"/>
    <w:basedOn w:val="813"/>
    <w:uiPriority w:val="99"/>
    <w:semiHidden/>
    <w:unhideWhenUsed/>
    <w:rPr>
      <w:color w:val="0000ff"/>
      <w:u w:val="single"/>
    </w:rPr>
  </w:style>
  <w:style w:type="paragraph" w:styleId="1_885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Юлия Александровна</dc:creator>
  <cp:keywords/>
  <dc:description/>
  <cp:revision>7</cp:revision>
  <dcterms:created xsi:type="dcterms:W3CDTF">2022-10-18T04:25:00Z</dcterms:created>
  <dcterms:modified xsi:type="dcterms:W3CDTF">2023-11-13T13:33:52Z</dcterms:modified>
</cp:coreProperties>
</file>